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021C" w14:textId="77777777" w:rsidR="00CC104D" w:rsidRPr="000145F2" w:rsidRDefault="00CC104D" w:rsidP="00CC104D">
      <w:pPr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 xml:space="preserve">KOŽENÁ BUNDA </w:t>
      </w:r>
      <w:r>
        <w:rPr>
          <w:rFonts w:cstheme="minorHAnsi"/>
          <w:b/>
          <w:sz w:val="14"/>
          <w:szCs w:val="14"/>
        </w:rPr>
        <w:t xml:space="preserve">JARI V2, SUPERJARI V2, JARI HOODED, SUPER JARI HOODED V2, </w:t>
      </w:r>
      <w:r w:rsidRPr="000145F2">
        <w:rPr>
          <w:rFonts w:cstheme="minorHAnsi"/>
          <w:b/>
          <w:sz w:val="14"/>
          <w:szCs w:val="14"/>
        </w:rPr>
        <w:t>JOYCE V2</w:t>
      </w:r>
      <w:r>
        <w:rPr>
          <w:rFonts w:cstheme="minorHAnsi"/>
          <w:b/>
          <w:sz w:val="14"/>
          <w:szCs w:val="14"/>
        </w:rPr>
        <w:t>, JOYCE HOODED</w:t>
      </w:r>
    </w:p>
    <w:p w14:paraId="570BC4E3" w14:textId="77777777" w:rsidR="00CC104D" w:rsidRPr="000145F2" w:rsidRDefault="00CC104D" w:rsidP="00CC104D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INFORMÁCIE PRE POUŽÍVATEĽA</w:t>
      </w:r>
    </w:p>
    <w:p w14:paraId="798D14B3" w14:textId="77777777" w:rsidR="00CC104D" w:rsidRPr="000145F2" w:rsidRDefault="00CC104D" w:rsidP="00CC104D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 xml:space="preserve">PRED POUŽITÍM SI POZORNE PREČÍTAJTE TIETO INFORMÁCIE. </w:t>
      </w:r>
    </w:p>
    <w:p w14:paraId="346007DF" w14:textId="77777777" w:rsidR="00CC104D" w:rsidRPr="000145F2" w:rsidRDefault="00CC104D" w:rsidP="00CC104D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POZOR</w:t>
      </w:r>
    </w:p>
    <w:p w14:paraId="631ABEC4" w14:textId="77777777" w:rsidR="00CC104D" w:rsidRPr="000145F2" w:rsidRDefault="00CC104D" w:rsidP="00CC104D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Miera rizika alebo nebezpečenstva, ktoré motocyklista podstúpi, úzko súvisí s typom jazdy a povahou nehody. Jazdci sú vyzvaní, aby si starostlivo vyberali ochranné odevy pre motocyklistov, ktoré zodpovedajú ich aktivite a rizikám. Iné odevy alebo kombinácie odevov certifikované podľa série noriem EN:17092-2;3 -4, -5 a -6 môžu poskytnúť vhodnejšiu ochranu ako tento odev, ale môžu mať nadváhu alebo ich ergonomický tvar či penalizácia tepelného stresu spojené s ich použitím, môžu byť pre niektorých ľudí neprijateľné.</w:t>
      </w:r>
    </w:p>
    <w:p w14:paraId="14154D5B" w14:textId="77777777" w:rsidR="00CC104D" w:rsidRDefault="00CC104D" w:rsidP="00CC104D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Tento OOP je navrhnutý tak, aby poskytoval ochranu v horúcom prostredí, ktoré si vo všeobecnosti vyžaduje použitie ľahkých materiálov. Iné odevy alebo kombinácie odevov certifikované podľa série noriem EN:17092-2,3, 4, 5 alebo 6 môžu poskytnúť väčšiu ochranu ako tieto odevy, hoci môžu mať za následok neprijateľné tepelné namáhanie v horúcom prostredí.</w:t>
      </w:r>
    </w:p>
    <w:p w14:paraId="104561F8" w14:textId="77777777" w:rsidR="00CC104D" w:rsidRPr="000145F2" w:rsidRDefault="00CC104D" w:rsidP="00CC104D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POUŽITIE S INÝMI OBLEČENIAMI</w:t>
      </w:r>
    </w:p>
    <w:p w14:paraId="50CC2CA0" w14:textId="77777777" w:rsidR="00CC104D" w:rsidRPr="000145F2" w:rsidRDefault="00CC104D" w:rsidP="00CC104D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Tento odev môže ovplyvniť výkon prilby alebo nohavíc. Aby ste zaistili správne prispôsobenie a prekrytie s inými odevmi, noste prilbu, nohavice a rukavice a vložte manžetu rukavice do rukávu ochrannej bundy. Tento odev neobsahuje chránič chrbta. V prípade pribalenia chrbtového chrániča skontrolujte polohu a nasadenie podľa pokynov výrobcu.</w:t>
      </w:r>
    </w:p>
    <w:p w14:paraId="43D8E58B" w14:textId="77777777" w:rsidR="00CC104D" w:rsidRPr="000145F2" w:rsidRDefault="00CC104D" w:rsidP="00CC104D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ÚROVEŇ VÝKONU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CC104D" w:rsidRPr="000145F2" w14:paraId="19DE0118" w14:textId="77777777" w:rsidTr="00B30D5A">
        <w:tc>
          <w:tcPr>
            <w:tcW w:w="2376" w:type="dxa"/>
          </w:tcPr>
          <w:p w14:paraId="72EAE327" w14:textId="77777777" w:rsidR="00CC104D" w:rsidRPr="000145F2" w:rsidRDefault="00CC104D" w:rsidP="00B30D5A">
            <w:pPr>
              <w:rPr>
                <w:rFonts w:cstheme="minorHAnsi"/>
                <w:b/>
                <w:sz w:val="14"/>
                <w:szCs w:val="14"/>
              </w:rPr>
            </w:pPr>
          </w:p>
          <w:tbl>
            <w:tblPr>
              <w:tblStyle w:val="TableNormal"/>
              <w:tblW w:w="0" w:type="auto"/>
              <w:tblLook w:val="01E0" w:firstRow="1" w:lastRow="1" w:firstColumn="1" w:lastColumn="1" w:noHBand="0" w:noVBand="0"/>
            </w:tblPr>
            <w:tblGrid>
              <w:gridCol w:w="1490"/>
            </w:tblGrid>
            <w:tr w:rsidR="00CC104D" w:rsidRPr="000145F2" w14:paraId="5757A27E" w14:textId="77777777" w:rsidTr="00B30D5A">
              <w:trPr>
                <w:trHeight w:hRule="exact" w:val="1314"/>
              </w:trPr>
              <w:tc>
                <w:tcPr>
                  <w:tcW w:w="1490" w:type="dxa"/>
                  <w:tcBorders>
                    <w:top w:val="single" w:sz="20" w:space="0" w:color="2B2B34"/>
                    <w:left w:val="single" w:sz="23" w:space="0" w:color="2B2B34"/>
                    <w:bottom w:val="single" w:sz="23" w:space="0" w:color="2B2B34"/>
                    <w:right w:val="single" w:sz="23" w:space="0" w:color="2B2B34"/>
                  </w:tcBorders>
                </w:tcPr>
                <w:p w14:paraId="38195152" w14:textId="77777777" w:rsidR="00CC104D" w:rsidRPr="000145F2" w:rsidRDefault="00CC104D" w:rsidP="00B30D5A">
                  <w:pPr>
                    <w:pStyle w:val="TableParagraph"/>
                    <w:spacing w:before="58"/>
                    <w:ind w:left="181"/>
                    <w:rPr>
                      <w:rFonts w:eastAsia="Times New Roman" w:cstheme="minorHAnsi"/>
                      <w:sz w:val="14"/>
                      <w:szCs w:val="14"/>
                    </w:rPr>
                  </w:pPr>
                  <w:r w:rsidRPr="000145F2">
                    <w:rPr>
                      <w:rFonts w:cstheme="minorHAnsi"/>
                      <w:noProof/>
                      <w:sz w:val="14"/>
                      <w:szCs w:val="14"/>
                      <w:lang w:val="sk-SK" w:eastAsia="sk-SK"/>
                    </w:rPr>
                    <w:drawing>
                      <wp:inline distT="0" distB="0" distL="0" distR="0" wp14:anchorId="46F2488C" wp14:editId="57D5ED30">
                        <wp:extent cx="680085" cy="577215"/>
                        <wp:effectExtent l="19050" t="0" r="5715" b="0"/>
                        <wp:docPr id="264966149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085" cy="577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517DE5" w14:textId="77777777" w:rsidR="00CC104D" w:rsidRPr="000145F2" w:rsidRDefault="00CC104D" w:rsidP="00B30D5A">
                  <w:pPr>
                    <w:pStyle w:val="TableParagraph"/>
                    <w:spacing w:before="15" w:line="280" w:lineRule="exact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</w:tr>
            <w:tr w:rsidR="00CC104D" w:rsidRPr="000145F2" w14:paraId="4EEF840D" w14:textId="77777777" w:rsidTr="00B30D5A">
              <w:trPr>
                <w:trHeight w:hRule="exact" w:val="367"/>
              </w:trPr>
              <w:tc>
                <w:tcPr>
                  <w:tcW w:w="1490" w:type="dxa"/>
                  <w:tcBorders>
                    <w:top w:val="single" w:sz="23" w:space="0" w:color="2B2B34"/>
                    <w:left w:val="single" w:sz="23" w:space="0" w:color="2B2B34"/>
                    <w:bottom w:val="single" w:sz="23" w:space="0" w:color="2B2B34"/>
                    <w:right w:val="single" w:sz="23" w:space="0" w:color="2B2B34"/>
                  </w:tcBorders>
                </w:tcPr>
                <w:p w14:paraId="58018F9E" w14:textId="77777777" w:rsidR="00CC104D" w:rsidRPr="000145F2" w:rsidRDefault="00CC104D" w:rsidP="00B30D5A">
                  <w:pPr>
                    <w:pStyle w:val="TableParagraph"/>
                    <w:spacing w:before="31"/>
                    <w:ind w:right="13"/>
                    <w:jc w:val="center"/>
                    <w:rPr>
                      <w:rFonts w:eastAsia="Arial" w:cstheme="minorHAnsi"/>
                      <w:sz w:val="14"/>
                      <w:szCs w:val="14"/>
                    </w:rPr>
                  </w:pPr>
                  <w:r w:rsidRPr="000145F2">
                    <w:rPr>
                      <w:rFonts w:eastAsia="Arial" w:cstheme="minorHAnsi"/>
                      <w:b/>
                      <w:bCs/>
                      <w:color w:val="2B2D34"/>
                      <w:w w:val="115"/>
                      <w:sz w:val="14"/>
                      <w:szCs w:val="14"/>
                    </w:rPr>
                    <w:t>AA</w:t>
                  </w:r>
                </w:p>
              </w:tc>
            </w:tr>
            <w:tr w:rsidR="00CC104D" w:rsidRPr="000145F2" w14:paraId="6FA5BF71" w14:textId="77777777" w:rsidTr="00B30D5A">
              <w:trPr>
                <w:trHeight w:hRule="exact" w:val="367"/>
              </w:trPr>
              <w:tc>
                <w:tcPr>
                  <w:tcW w:w="1490" w:type="dxa"/>
                  <w:tcBorders>
                    <w:top w:val="single" w:sz="23" w:space="0" w:color="2B2B34"/>
                    <w:left w:val="single" w:sz="23" w:space="0" w:color="2B2B34"/>
                    <w:bottom w:val="nil"/>
                    <w:right w:val="single" w:sz="23" w:space="0" w:color="2B2B34"/>
                  </w:tcBorders>
                </w:tcPr>
                <w:p w14:paraId="55A9D6E4" w14:textId="77777777" w:rsidR="00CC104D" w:rsidRPr="000145F2" w:rsidRDefault="00CC104D" w:rsidP="00B30D5A">
                  <w:pPr>
                    <w:pStyle w:val="TableParagraph"/>
                    <w:spacing w:line="215" w:lineRule="exact"/>
                    <w:ind w:left="36"/>
                    <w:rPr>
                      <w:rFonts w:eastAsia="Times New Roman" w:cstheme="minorHAnsi"/>
                      <w:sz w:val="14"/>
                      <w:szCs w:val="14"/>
                    </w:rPr>
                  </w:pPr>
                  <w:r w:rsidRPr="000145F2">
                    <w:rPr>
                      <w:rFonts w:eastAsia="Times New Roman" w:cstheme="minorHAnsi"/>
                      <w:b/>
                      <w:bCs/>
                      <w:color w:val="2B2D34"/>
                      <w:w w:val="85"/>
                      <w:sz w:val="14"/>
                      <w:szCs w:val="14"/>
                    </w:rPr>
                    <w:t>EN:17091-4:1010</w:t>
                  </w:r>
                </w:p>
              </w:tc>
            </w:tr>
          </w:tbl>
          <w:p w14:paraId="44AE515B" w14:textId="77777777" w:rsidR="00CC104D" w:rsidRPr="000145F2" w:rsidRDefault="00CC104D" w:rsidP="00B30D5A">
            <w:pPr>
              <w:rPr>
                <w:rFonts w:cstheme="minorHAnsi"/>
                <w:sz w:val="14"/>
                <w:szCs w:val="14"/>
              </w:rPr>
            </w:pPr>
          </w:p>
          <w:p w14:paraId="6E73DAE9" w14:textId="77777777" w:rsidR="00CC104D" w:rsidRPr="000145F2" w:rsidRDefault="00CC104D" w:rsidP="00B30D5A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371" w:type="dxa"/>
          </w:tcPr>
          <w:p w14:paraId="6DA20817" w14:textId="77777777" w:rsidR="00CC104D" w:rsidRPr="000145F2" w:rsidRDefault="00CC104D" w:rsidP="00B30D5A">
            <w:pPr>
              <w:rPr>
                <w:rFonts w:cstheme="minorHAnsi"/>
                <w:sz w:val="14"/>
                <w:szCs w:val="14"/>
              </w:rPr>
            </w:pPr>
            <w:r w:rsidRPr="000145F2">
              <w:rPr>
                <w:rFonts w:cstheme="minorHAnsi"/>
                <w:sz w:val="14"/>
                <w:szCs w:val="14"/>
              </w:rPr>
              <w:t>Tento piktogram znamená, že ide o odev pre motocyklistov spĺňajúci úroveň ochrany AA podľa</w:t>
            </w:r>
          </w:p>
          <w:p w14:paraId="7C1D4679" w14:textId="77777777" w:rsidR="00CC104D" w:rsidRPr="000145F2" w:rsidRDefault="00CC104D" w:rsidP="00B30D5A">
            <w:pPr>
              <w:rPr>
                <w:rFonts w:cstheme="minorHAnsi"/>
                <w:sz w:val="14"/>
                <w:szCs w:val="14"/>
              </w:rPr>
            </w:pPr>
            <w:r w:rsidRPr="000145F2">
              <w:rPr>
                <w:rFonts w:cstheme="minorHAnsi"/>
                <w:sz w:val="14"/>
                <w:szCs w:val="14"/>
              </w:rPr>
              <w:t>EN:17012-4:2020.</w:t>
            </w:r>
          </w:p>
          <w:p w14:paraId="0A25945C" w14:textId="77777777" w:rsidR="00CC104D" w:rsidRPr="000145F2" w:rsidRDefault="00CC104D" w:rsidP="00B30D5A">
            <w:pPr>
              <w:rPr>
                <w:rFonts w:cstheme="minorHAnsi"/>
                <w:sz w:val="14"/>
                <w:szCs w:val="14"/>
              </w:rPr>
            </w:pPr>
          </w:p>
          <w:p w14:paraId="5EB93F66" w14:textId="77777777" w:rsidR="00CC104D" w:rsidRPr="000145F2" w:rsidRDefault="00CC104D" w:rsidP="00B30D5A">
            <w:pPr>
              <w:rPr>
                <w:rFonts w:cstheme="minorHAnsi"/>
                <w:sz w:val="14"/>
                <w:szCs w:val="14"/>
              </w:rPr>
            </w:pPr>
            <w:r w:rsidRPr="000145F2">
              <w:rPr>
                <w:rFonts w:cstheme="minorHAnsi"/>
                <w:sz w:val="14"/>
                <w:szCs w:val="14"/>
              </w:rPr>
              <w:t>Toto oblečenie obsahuje chrániče ramien a lakťov certifikované podľa EN:1621•1•2012</w:t>
            </w:r>
          </w:p>
          <w:p w14:paraId="03C20BD1" w14:textId="77777777" w:rsidR="00CC104D" w:rsidRPr="000145F2" w:rsidRDefault="00CC104D" w:rsidP="00B30D5A">
            <w:pPr>
              <w:rPr>
                <w:rFonts w:cstheme="minorHAnsi"/>
                <w:sz w:val="14"/>
                <w:szCs w:val="14"/>
              </w:rPr>
            </w:pPr>
          </w:p>
          <w:p w14:paraId="464C09A5" w14:textId="77777777" w:rsidR="00CC104D" w:rsidRPr="000145F2" w:rsidRDefault="00CC104D" w:rsidP="00B30D5A">
            <w:pPr>
              <w:rPr>
                <w:rFonts w:cstheme="minorHAnsi"/>
                <w:sz w:val="14"/>
                <w:szCs w:val="14"/>
              </w:rPr>
            </w:pPr>
            <w:r w:rsidRPr="000145F2">
              <w:rPr>
                <w:rFonts w:cstheme="minorHAnsi"/>
                <w:b/>
                <w:sz w:val="14"/>
                <w:szCs w:val="14"/>
              </w:rPr>
              <w:t>CE:</w:t>
            </w:r>
            <w:r w:rsidRPr="000145F2">
              <w:rPr>
                <w:rFonts w:cstheme="minorHAnsi"/>
                <w:sz w:val="14"/>
                <w:szCs w:val="14"/>
              </w:rPr>
              <w:t xml:space="preserve">  Toto oblečenie je certifikované (ES) podľa nariadenia (EÚ) 2016/25 a EN17092.</w:t>
            </w:r>
          </w:p>
          <w:p w14:paraId="6E1AEC09" w14:textId="77777777" w:rsidR="00CC104D" w:rsidRPr="000145F2" w:rsidRDefault="00CC104D" w:rsidP="00B30D5A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14:paraId="74DCB7E1" w14:textId="77777777" w:rsidR="00CC104D" w:rsidRPr="000145F2" w:rsidRDefault="00CC104D" w:rsidP="00CC104D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NEPOUŽÍVAJTE TENTO ODEV AK BY STE Z NEHO ODSTRÁNILI OCHRANU PROTI NÁRAZU.</w:t>
      </w:r>
    </w:p>
    <w:p w14:paraId="52871B7D" w14:textId="77777777" w:rsidR="00CC104D" w:rsidRPr="000145F2" w:rsidRDefault="00CC104D" w:rsidP="00CC104D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ŽIADEN OOP ANI KOMBINÁCIA OOP NEMÔŽE PONÚKAŤ KOMPLETNÚ OCHRANU PRED ZRANENÍM.</w:t>
      </w:r>
    </w:p>
    <w:p w14:paraId="243661DA" w14:textId="77777777" w:rsidR="00CC104D" w:rsidRPr="000145F2" w:rsidRDefault="00CC104D" w:rsidP="00CC104D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Tento odev neobsahuje žiadne škodlivé látky.</w:t>
      </w:r>
    </w:p>
    <w:p w14:paraId="5554C10F" w14:textId="77777777" w:rsidR="00CC104D" w:rsidRDefault="00CC104D" w:rsidP="00CC104D">
      <w:pPr>
        <w:spacing w:after="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Dámsky ODEV JOYCE </w:t>
      </w:r>
      <w:r w:rsidRPr="000145F2">
        <w:rPr>
          <w:rFonts w:cstheme="minorHAnsi"/>
          <w:sz w:val="14"/>
          <w:szCs w:val="14"/>
        </w:rPr>
        <w:t>JE DOSTUPNÝ vo veľkostiach:  3</w:t>
      </w:r>
      <w:r>
        <w:rPr>
          <w:rFonts w:cstheme="minorHAnsi"/>
          <w:sz w:val="14"/>
          <w:szCs w:val="14"/>
        </w:rPr>
        <w:t>6</w:t>
      </w:r>
      <w:r w:rsidRPr="000145F2">
        <w:rPr>
          <w:rFonts w:cstheme="minorHAnsi"/>
          <w:sz w:val="14"/>
          <w:szCs w:val="14"/>
        </w:rPr>
        <w:t>, 38, 40, 42,</w:t>
      </w:r>
      <w:r>
        <w:rPr>
          <w:rFonts w:cstheme="minorHAnsi"/>
          <w:sz w:val="14"/>
          <w:szCs w:val="14"/>
        </w:rPr>
        <w:t xml:space="preserve"> 44, 46 a SUPER JOYCE vo veľkostiach 48,50,52,54,56</w:t>
      </w:r>
    </w:p>
    <w:p w14:paraId="2F7F46A0" w14:textId="77777777" w:rsidR="00CC104D" w:rsidRPr="000145F2" w:rsidRDefault="00CC104D" w:rsidP="00CC104D">
      <w:pPr>
        <w:spacing w:after="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Pánsky ODEV JARI </w:t>
      </w:r>
      <w:r w:rsidRPr="000145F2">
        <w:rPr>
          <w:rFonts w:cstheme="minorHAnsi"/>
          <w:sz w:val="14"/>
          <w:szCs w:val="14"/>
        </w:rPr>
        <w:t xml:space="preserve">JE DOSTUPNÝ vo veľkostiach:  </w:t>
      </w:r>
      <w:r>
        <w:rPr>
          <w:rFonts w:cstheme="minorHAnsi"/>
          <w:sz w:val="14"/>
          <w:szCs w:val="14"/>
        </w:rPr>
        <w:t>S,M,L,XL,2XL,3XL,4XL a SUPER JARI vo veľkostiach 5XL, 6XL, 7XL, 8XL</w:t>
      </w:r>
    </w:p>
    <w:p w14:paraId="40C52A5D" w14:textId="77777777" w:rsidR="00CC104D" w:rsidRPr="000145F2" w:rsidRDefault="00CC104D" w:rsidP="00CC104D">
      <w:pPr>
        <w:spacing w:after="0"/>
        <w:rPr>
          <w:rFonts w:cstheme="minorHAnsi"/>
          <w:sz w:val="14"/>
          <w:szCs w:val="14"/>
        </w:rPr>
      </w:pPr>
    </w:p>
    <w:p w14:paraId="66F6FB23" w14:textId="77777777" w:rsidR="00CC104D" w:rsidRDefault="00CC104D" w:rsidP="00CC104D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Aby ste zabezpečili dokonalé prispôsobenie odevu, zmerajte si obrys hrudníka (A), pása (B) a výšku (C) v centimetroch a v Rusty Stitches tabuľke vyhľadajte najvhodnejšiu veľkosť. Oblečte si najvhodnejší odev podľa svojich mier, zapnite a skontrolujte, či chrániče dokonale sedia a či je v jazdeckej polohe dostatočný presah medzi bundou a nohavicami.</w:t>
      </w:r>
    </w:p>
    <w:p w14:paraId="2C0D6740" w14:textId="77777777" w:rsidR="00CC104D" w:rsidRPr="000145F2" w:rsidRDefault="00CC104D" w:rsidP="00CC104D">
      <w:pPr>
        <w:spacing w:after="0"/>
        <w:rPr>
          <w:rFonts w:cstheme="minorHAnsi"/>
          <w:sz w:val="14"/>
          <w:szCs w:val="14"/>
        </w:rPr>
      </w:pPr>
    </w:p>
    <w:p w14:paraId="193ECD8E" w14:textId="77777777" w:rsidR="00CC104D" w:rsidRDefault="00CC104D" w:rsidP="00CC104D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44F92B78" wp14:editId="26057D0D">
            <wp:extent cx="1973036" cy="705654"/>
            <wp:effectExtent l="19050" t="0" r="8164" b="0"/>
            <wp:docPr id="616187011" name="Obrázok 61618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10" cy="70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14"/>
          <w:szCs w:val="14"/>
        </w:rPr>
        <w:t xml:space="preserve">                   </w:t>
      </w: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3B9B2920" wp14:editId="4A857C74">
            <wp:extent cx="1333203" cy="707571"/>
            <wp:effectExtent l="19050" t="0" r="297" b="0"/>
            <wp:docPr id="1820194614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03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14"/>
          <w:szCs w:val="14"/>
        </w:rPr>
        <w:t xml:space="preserve">                                  </w:t>
      </w: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7E044115" wp14:editId="0441C5C2">
            <wp:extent cx="1254578" cy="761573"/>
            <wp:effectExtent l="19050" t="0" r="2722" b="0"/>
            <wp:docPr id="1476599279" name="Obrázok 147659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08" cy="76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0891F" w14:textId="77777777" w:rsidR="00CC104D" w:rsidRDefault="00CC104D" w:rsidP="00CC104D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6A4C5228" wp14:editId="0CF8A898">
            <wp:extent cx="1947956" cy="800100"/>
            <wp:effectExtent l="19050" t="0" r="0" b="0"/>
            <wp:docPr id="101372409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64" cy="80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14"/>
          <w:szCs w:val="14"/>
        </w:rPr>
        <w:t xml:space="preserve">                     </w:t>
      </w: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3A687D73" wp14:editId="55A18163">
            <wp:extent cx="1728107" cy="796033"/>
            <wp:effectExtent l="19050" t="0" r="5443" b="0"/>
            <wp:docPr id="968013491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07" cy="79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14"/>
          <w:szCs w:val="14"/>
        </w:rPr>
        <w:t xml:space="preserve">           </w:t>
      </w: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2FEDA049" wp14:editId="4A2AEAE2">
            <wp:extent cx="1390650" cy="771091"/>
            <wp:effectExtent l="19050" t="0" r="0" b="0"/>
            <wp:docPr id="202200733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41" cy="77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91725" w14:textId="77777777" w:rsidR="00CC104D" w:rsidRPr="000145F2" w:rsidRDefault="00CC104D" w:rsidP="00CC104D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POKYNY NA SKLADOVANIE</w:t>
      </w:r>
    </w:p>
    <w:p w14:paraId="6B79B8B6" w14:textId="77777777" w:rsidR="00CC104D" w:rsidRPr="000145F2" w:rsidRDefault="00CC104D" w:rsidP="00CC104D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Odev uchovávajte na suchom a odolnom mieste, chráňte pred slnečným žiarením a ohniskom tepla a chladu. Ak je to možné, skladujte v pôvodnom obale. Udržujte ho ďaleko od chemických látok, ktoré by mohli poškodiť materiál a spôsobiť, že odev stratí svoje ochranné vlastnosti.</w:t>
      </w:r>
    </w:p>
    <w:p w14:paraId="37B008E4" w14:textId="77777777" w:rsidR="00CC104D" w:rsidRPr="000145F2" w:rsidRDefault="00CC104D" w:rsidP="00CC104D">
      <w:pPr>
        <w:rPr>
          <w:rFonts w:cstheme="minorHAnsi"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 xml:space="preserve">NÁVOD NA ÚDRŽBU    </w:t>
      </w:r>
      <w:r w:rsidRPr="000145F2">
        <w:rPr>
          <w:rFonts w:cstheme="minorHAnsi"/>
          <w:sz w:val="14"/>
          <w:szCs w:val="14"/>
        </w:rPr>
        <w:t>Povrchové čistenie len vlhkou špongiou.</w:t>
      </w:r>
    </w:p>
    <w:p w14:paraId="7751E685" w14:textId="77777777" w:rsidR="00CC104D" w:rsidRPr="000145F2" w:rsidRDefault="00CC104D" w:rsidP="00CC104D">
      <w:pPr>
        <w:rPr>
          <w:rFonts w:cstheme="minorHAnsi"/>
          <w:sz w:val="14"/>
          <w:szCs w:val="14"/>
        </w:rPr>
      </w:pPr>
      <w:r w:rsidRPr="000145F2">
        <w:rPr>
          <w:rFonts w:cstheme="minorHAnsi"/>
          <w:noProof/>
          <w:sz w:val="14"/>
          <w:szCs w:val="14"/>
          <w:lang w:eastAsia="sk-SK"/>
        </w:rPr>
        <w:drawing>
          <wp:inline distT="0" distB="0" distL="0" distR="0" wp14:anchorId="6B81BC30" wp14:editId="6B1D6057">
            <wp:extent cx="2724150" cy="394256"/>
            <wp:effectExtent l="19050" t="0" r="0" b="0"/>
            <wp:docPr id="752750917" name="Obrázok 75275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54" cy="39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57866" w14:textId="77777777" w:rsidR="00CC104D" w:rsidRPr="000145F2" w:rsidRDefault="00CC104D" w:rsidP="00CC104D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REVÍZIA</w:t>
      </w:r>
    </w:p>
    <w:p w14:paraId="18E8B31B" w14:textId="77777777" w:rsidR="00CC104D" w:rsidRPr="000145F2" w:rsidRDefault="00CC104D" w:rsidP="00CC104D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Pred použitím skontrolujte materiál, chrániče proti nárazu, výstuhy, uzávery a pozrite či sú v perfektnom stave. V prípade, že OOP nevyhovuje tejto požiadavke, požiadajte oficiálneho distribútora výrobku o výmenu alebo ho odmietnite.</w:t>
      </w:r>
    </w:p>
    <w:p w14:paraId="322BC250" w14:textId="77777777" w:rsidR="00CC104D" w:rsidRPr="000145F2" w:rsidRDefault="00CC104D" w:rsidP="00CC104D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BALENIE</w:t>
      </w:r>
    </w:p>
    <w:p w14:paraId="53CA570B" w14:textId="77777777" w:rsidR="00CC104D" w:rsidRDefault="00CC104D" w:rsidP="00CC104D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Aby sa zabezpečilo správne skladovanie odevu, predáva sa v plastovom vrecku. Uchovajte si ho pre budúce uskladnenie.</w:t>
      </w:r>
    </w:p>
    <w:p w14:paraId="147A34FD" w14:textId="77777777" w:rsidR="00CC104D" w:rsidRPr="000145F2" w:rsidRDefault="00CC104D" w:rsidP="00CC104D">
      <w:pPr>
        <w:rPr>
          <w:rFonts w:cstheme="minorHAnsi"/>
          <w:sz w:val="14"/>
          <w:szCs w:val="14"/>
        </w:rPr>
      </w:pPr>
    </w:p>
    <w:p w14:paraId="2F4F8848" w14:textId="77777777" w:rsidR="00CC104D" w:rsidRPr="00D05565" w:rsidRDefault="00CC104D" w:rsidP="00CC104D">
      <w:pPr>
        <w:rPr>
          <w:sz w:val="14"/>
          <w:szCs w:val="14"/>
        </w:rPr>
      </w:pPr>
      <w:r w:rsidRPr="00D05565">
        <w:rPr>
          <w:sz w:val="14"/>
          <w:szCs w:val="14"/>
        </w:rPr>
        <w:t>Dodávateľ: JOPA RAcing Products, Veldegge 8, 7468 DJ Enter, www.jopa.nl</w:t>
      </w:r>
    </w:p>
    <w:p w14:paraId="192BF8BE" w14:textId="77777777" w:rsidR="00CC104D" w:rsidRPr="00D05565" w:rsidRDefault="00CC104D" w:rsidP="00CC104D">
      <w:pPr>
        <w:rPr>
          <w:sz w:val="14"/>
          <w:szCs w:val="14"/>
        </w:rPr>
      </w:pPr>
      <w:r w:rsidRPr="00D05565">
        <w:rPr>
          <w:sz w:val="14"/>
          <w:szCs w:val="14"/>
        </w:rPr>
        <w:t xml:space="preserve">Dovozca:  IP trade s.r.o., Slnečná 2908/1, 926 01 Sereď, ICO:46288244, </w:t>
      </w:r>
      <w:hyperlink r:id="rId12" w:history="1">
        <w:r w:rsidRPr="00D05565">
          <w:rPr>
            <w:rStyle w:val="Hypertextovprepojenie"/>
            <w:sz w:val="14"/>
            <w:szCs w:val="14"/>
          </w:rPr>
          <w:t>www.namoto.sk</w:t>
        </w:r>
      </w:hyperlink>
      <w:r w:rsidRPr="00D05565">
        <w:rPr>
          <w:sz w:val="14"/>
          <w:szCs w:val="14"/>
        </w:rPr>
        <w:t>, email: info</w:t>
      </w:r>
      <w:r w:rsidRPr="00D05565">
        <w:rPr>
          <w:rFonts w:cstheme="minorHAnsi"/>
          <w:sz w:val="14"/>
          <w:szCs w:val="14"/>
        </w:rPr>
        <w:t>@</w:t>
      </w:r>
      <w:r w:rsidRPr="00D05565">
        <w:rPr>
          <w:sz w:val="14"/>
          <w:szCs w:val="14"/>
        </w:rPr>
        <w:t>namoto.sk</w:t>
      </w:r>
    </w:p>
    <w:p w14:paraId="3A1232B5" w14:textId="77777777" w:rsidR="00CC104D" w:rsidRDefault="00CC104D" w:rsidP="00243DB6">
      <w:pPr>
        <w:rPr>
          <w:rFonts w:cstheme="minorHAnsi"/>
          <w:b/>
          <w:sz w:val="14"/>
          <w:szCs w:val="14"/>
        </w:rPr>
      </w:pPr>
    </w:p>
    <w:p w14:paraId="7C4CE87C" w14:textId="673015CE" w:rsidR="00243DB6" w:rsidRPr="000145F2" w:rsidRDefault="00243DB6" w:rsidP="00243DB6">
      <w:pPr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lastRenderedPageBreak/>
        <w:t xml:space="preserve">KOŽENÁ BUNDA </w:t>
      </w:r>
      <w:r w:rsidR="001139D6">
        <w:rPr>
          <w:rFonts w:cstheme="minorHAnsi"/>
          <w:b/>
          <w:sz w:val="14"/>
          <w:szCs w:val="14"/>
        </w:rPr>
        <w:t xml:space="preserve">JARI V2, </w:t>
      </w:r>
      <w:r w:rsidR="00DE7F98">
        <w:rPr>
          <w:rFonts w:cstheme="minorHAnsi"/>
          <w:b/>
          <w:sz w:val="14"/>
          <w:szCs w:val="14"/>
        </w:rPr>
        <w:t xml:space="preserve">SUPERJARI V2, </w:t>
      </w:r>
      <w:r w:rsidR="001139D6">
        <w:rPr>
          <w:rFonts w:cstheme="minorHAnsi"/>
          <w:b/>
          <w:sz w:val="14"/>
          <w:szCs w:val="14"/>
        </w:rPr>
        <w:t xml:space="preserve">JARI HOODED, </w:t>
      </w:r>
      <w:r w:rsidR="00DE7F98">
        <w:rPr>
          <w:rFonts w:cstheme="minorHAnsi"/>
          <w:b/>
          <w:sz w:val="14"/>
          <w:szCs w:val="14"/>
        </w:rPr>
        <w:t xml:space="preserve">SUPER JARI HOODED V2, </w:t>
      </w:r>
      <w:r w:rsidR="00D436EE" w:rsidRPr="000145F2">
        <w:rPr>
          <w:rFonts w:cstheme="minorHAnsi"/>
          <w:b/>
          <w:sz w:val="14"/>
          <w:szCs w:val="14"/>
        </w:rPr>
        <w:t>JOYCE</w:t>
      </w:r>
      <w:r w:rsidRPr="000145F2">
        <w:rPr>
          <w:rFonts w:cstheme="minorHAnsi"/>
          <w:b/>
          <w:sz w:val="14"/>
          <w:szCs w:val="14"/>
        </w:rPr>
        <w:t xml:space="preserve"> V2</w:t>
      </w:r>
      <w:r w:rsidR="001139D6">
        <w:rPr>
          <w:rFonts w:cstheme="minorHAnsi"/>
          <w:b/>
          <w:sz w:val="14"/>
          <w:szCs w:val="14"/>
        </w:rPr>
        <w:t>, JOYCE HOODED</w:t>
      </w:r>
    </w:p>
    <w:p w14:paraId="2D7FE112" w14:textId="77777777" w:rsidR="00243DB6" w:rsidRPr="000145F2" w:rsidRDefault="00243DB6" w:rsidP="000145F2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INFORMÁCIE PRE POUŽÍVATEĽA</w:t>
      </w:r>
    </w:p>
    <w:p w14:paraId="1DEA4B7A" w14:textId="77777777" w:rsidR="00243DB6" w:rsidRPr="000145F2" w:rsidRDefault="00243DB6" w:rsidP="000145F2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 xml:space="preserve">PRED POUŽITÍM SI POZORNE PREČÍTAJTE TIETO INFORMÁCIE. </w:t>
      </w:r>
    </w:p>
    <w:p w14:paraId="405E5C4A" w14:textId="77777777" w:rsidR="00243DB6" w:rsidRPr="000145F2" w:rsidRDefault="00243DB6" w:rsidP="000145F2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POZOR</w:t>
      </w:r>
    </w:p>
    <w:p w14:paraId="7F075BF8" w14:textId="77777777" w:rsidR="00243DB6" w:rsidRPr="000145F2" w:rsidRDefault="00243DB6" w:rsidP="000145F2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Miera rizika alebo nebezpečenstva, ktoré motocyklista podstúpi, úzko súvisí s typom jazdy a povahou nehody. Jazdci sú vyzvaní, aby si starostlivo vyberali ochranné odevy pre motocyklistov, ktoré zodpovedajú ich aktivite a rizikám. Iné odevy alebo kombinácie odevov certifikované podľa série noriem EN:17092-2;3 -4, -5 a -6 môžu poskytnúť vhodnejšiu ochranu ako tento odev, ale môžu mať nadváhu alebo ich ergonomický tvar či penalizácia tepelného stresu spojené s ich použitím, môžu byť pre niektorých ľudí neprijateľné.</w:t>
      </w:r>
    </w:p>
    <w:p w14:paraId="5860382C" w14:textId="77777777" w:rsidR="002E387D" w:rsidRDefault="00243DB6" w:rsidP="002E387D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Tento OOP je navrhnutý tak, aby poskytoval ochranu v horúcom prostredí, ktoré si vo všeobecnosti vyžaduje použitie ľahkých materiálov. Iné odevy alebo kombinácie odevov certifikované podľa série noriem EN:17092-2,3, 4, 5 alebo 6 môžu poskytnúť väčšiu ochranu ako tieto odevy, hoci môžu mať za následok neprijateľné tepelné namáhanie v horúcom prostredí.</w:t>
      </w:r>
    </w:p>
    <w:p w14:paraId="7E57CC38" w14:textId="77777777" w:rsidR="00243DB6" w:rsidRPr="000145F2" w:rsidRDefault="00243DB6" w:rsidP="002E387D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POUŽITIE S INÝMI OBLEČENIAMI</w:t>
      </w:r>
    </w:p>
    <w:p w14:paraId="09427130" w14:textId="77777777" w:rsidR="00243DB6" w:rsidRPr="000145F2" w:rsidRDefault="00243DB6" w:rsidP="00243DB6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Tento odev môže ovplyvniť výkon prilby alebo nohavíc. Aby ste zaistili správne prispôsobenie a prekrytie s inými odevmi, noste prilbu, nohavice a rukavice a vložte manžetu rukavice do rukávu ochrannej bundy. Tento odev neobsahuje chránič chrbta. V prípade pribalenia chrbtového chrániča skontrolujte polohu a nasadenie podľa pokynov výrobcu.</w:t>
      </w:r>
    </w:p>
    <w:p w14:paraId="54FD0731" w14:textId="77777777" w:rsidR="00243DB6" w:rsidRPr="000145F2" w:rsidRDefault="00243DB6" w:rsidP="000145F2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ÚROVEŇ VÝKONU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0145F2" w:rsidRPr="000145F2" w14:paraId="04B2BEE2" w14:textId="77777777" w:rsidTr="000145F2">
        <w:tc>
          <w:tcPr>
            <w:tcW w:w="2376" w:type="dxa"/>
          </w:tcPr>
          <w:p w14:paraId="0A09CAF4" w14:textId="77777777" w:rsidR="000145F2" w:rsidRPr="000145F2" w:rsidRDefault="000145F2" w:rsidP="000145F2">
            <w:pPr>
              <w:rPr>
                <w:rFonts w:cstheme="minorHAnsi"/>
                <w:b/>
                <w:sz w:val="14"/>
                <w:szCs w:val="14"/>
              </w:rPr>
            </w:pPr>
          </w:p>
          <w:tbl>
            <w:tblPr>
              <w:tblStyle w:val="TableNormal"/>
              <w:tblW w:w="0" w:type="auto"/>
              <w:tblLook w:val="01E0" w:firstRow="1" w:lastRow="1" w:firstColumn="1" w:lastColumn="1" w:noHBand="0" w:noVBand="0"/>
            </w:tblPr>
            <w:tblGrid>
              <w:gridCol w:w="1490"/>
            </w:tblGrid>
            <w:tr w:rsidR="000145F2" w:rsidRPr="000145F2" w14:paraId="44D9E188" w14:textId="77777777" w:rsidTr="0086749F">
              <w:trPr>
                <w:trHeight w:hRule="exact" w:val="1314"/>
              </w:trPr>
              <w:tc>
                <w:tcPr>
                  <w:tcW w:w="1490" w:type="dxa"/>
                  <w:tcBorders>
                    <w:top w:val="single" w:sz="20" w:space="0" w:color="2B2B34"/>
                    <w:left w:val="single" w:sz="23" w:space="0" w:color="2B2B34"/>
                    <w:bottom w:val="single" w:sz="23" w:space="0" w:color="2B2B34"/>
                    <w:right w:val="single" w:sz="23" w:space="0" w:color="2B2B34"/>
                  </w:tcBorders>
                </w:tcPr>
                <w:p w14:paraId="34BBB88D" w14:textId="77777777" w:rsidR="000145F2" w:rsidRPr="000145F2" w:rsidRDefault="000145F2" w:rsidP="0086749F">
                  <w:pPr>
                    <w:pStyle w:val="TableParagraph"/>
                    <w:spacing w:before="58"/>
                    <w:ind w:left="181"/>
                    <w:rPr>
                      <w:rFonts w:eastAsia="Times New Roman" w:cstheme="minorHAnsi"/>
                      <w:sz w:val="14"/>
                      <w:szCs w:val="14"/>
                    </w:rPr>
                  </w:pPr>
                  <w:r w:rsidRPr="000145F2">
                    <w:rPr>
                      <w:rFonts w:cstheme="minorHAnsi"/>
                      <w:noProof/>
                      <w:sz w:val="14"/>
                      <w:szCs w:val="14"/>
                      <w:lang w:val="sk-SK" w:eastAsia="sk-SK"/>
                    </w:rPr>
                    <w:drawing>
                      <wp:inline distT="0" distB="0" distL="0" distR="0" wp14:anchorId="4A2D6BA0" wp14:editId="4B86C65F">
                        <wp:extent cx="680085" cy="577215"/>
                        <wp:effectExtent l="19050" t="0" r="5715" b="0"/>
                        <wp:docPr id="3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085" cy="577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A3BEC2" w14:textId="77777777" w:rsidR="000145F2" w:rsidRPr="000145F2" w:rsidRDefault="000145F2" w:rsidP="0086749F">
                  <w:pPr>
                    <w:pStyle w:val="TableParagraph"/>
                    <w:spacing w:before="15" w:line="280" w:lineRule="exact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</w:tr>
            <w:tr w:rsidR="000145F2" w:rsidRPr="000145F2" w14:paraId="2EABF3F7" w14:textId="77777777" w:rsidTr="0086749F">
              <w:trPr>
                <w:trHeight w:hRule="exact" w:val="367"/>
              </w:trPr>
              <w:tc>
                <w:tcPr>
                  <w:tcW w:w="1490" w:type="dxa"/>
                  <w:tcBorders>
                    <w:top w:val="single" w:sz="23" w:space="0" w:color="2B2B34"/>
                    <w:left w:val="single" w:sz="23" w:space="0" w:color="2B2B34"/>
                    <w:bottom w:val="single" w:sz="23" w:space="0" w:color="2B2B34"/>
                    <w:right w:val="single" w:sz="23" w:space="0" w:color="2B2B34"/>
                  </w:tcBorders>
                </w:tcPr>
                <w:p w14:paraId="75ADFC10" w14:textId="77777777" w:rsidR="000145F2" w:rsidRPr="000145F2" w:rsidRDefault="000145F2" w:rsidP="0086749F">
                  <w:pPr>
                    <w:pStyle w:val="TableParagraph"/>
                    <w:spacing w:before="31"/>
                    <w:ind w:right="13"/>
                    <w:jc w:val="center"/>
                    <w:rPr>
                      <w:rFonts w:eastAsia="Arial" w:cstheme="minorHAnsi"/>
                      <w:sz w:val="14"/>
                      <w:szCs w:val="14"/>
                    </w:rPr>
                  </w:pPr>
                  <w:r w:rsidRPr="000145F2">
                    <w:rPr>
                      <w:rFonts w:eastAsia="Arial" w:cstheme="minorHAnsi"/>
                      <w:b/>
                      <w:bCs/>
                      <w:color w:val="2B2D34"/>
                      <w:w w:val="115"/>
                      <w:sz w:val="14"/>
                      <w:szCs w:val="14"/>
                    </w:rPr>
                    <w:t>AA</w:t>
                  </w:r>
                </w:p>
              </w:tc>
            </w:tr>
            <w:tr w:rsidR="000145F2" w:rsidRPr="000145F2" w14:paraId="44A8270B" w14:textId="77777777" w:rsidTr="0086749F">
              <w:trPr>
                <w:trHeight w:hRule="exact" w:val="367"/>
              </w:trPr>
              <w:tc>
                <w:tcPr>
                  <w:tcW w:w="1490" w:type="dxa"/>
                  <w:tcBorders>
                    <w:top w:val="single" w:sz="23" w:space="0" w:color="2B2B34"/>
                    <w:left w:val="single" w:sz="23" w:space="0" w:color="2B2B34"/>
                    <w:bottom w:val="nil"/>
                    <w:right w:val="single" w:sz="23" w:space="0" w:color="2B2B34"/>
                  </w:tcBorders>
                </w:tcPr>
                <w:p w14:paraId="15BB11D7" w14:textId="77777777" w:rsidR="000145F2" w:rsidRPr="000145F2" w:rsidRDefault="000145F2" w:rsidP="0086749F">
                  <w:pPr>
                    <w:pStyle w:val="TableParagraph"/>
                    <w:spacing w:line="215" w:lineRule="exact"/>
                    <w:ind w:left="36"/>
                    <w:rPr>
                      <w:rFonts w:eastAsia="Times New Roman" w:cstheme="minorHAnsi"/>
                      <w:sz w:val="14"/>
                      <w:szCs w:val="14"/>
                    </w:rPr>
                  </w:pPr>
                  <w:r w:rsidRPr="000145F2">
                    <w:rPr>
                      <w:rFonts w:eastAsia="Times New Roman" w:cstheme="minorHAnsi"/>
                      <w:b/>
                      <w:bCs/>
                      <w:color w:val="2B2D34"/>
                      <w:w w:val="85"/>
                      <w:sz w:val="14"/>
                      <w:szCs w:val="14"/>
                    </w:rPr>
                    <w:t>EN:17091-4:1010</w:t>
                  </w:r>
                </w:p>
              </w:tc>
            </w:tr>
          </w:tbl>
          <w:p w14:paraId="01EEA4D8" w14:textId="77777777" w:rsidR="000145F2" w:rsidRPr="000145F2" w:rsidRDefault="000145F2" w:rsidP="000145F2">
            <w:pPr>
              <w:rPr>
                <w:rFonts w:cstheme="minorHAnsi"/>
                <w:sz w:val="14"/>
                <w:szCs w:val="14"/>
              </w:rPr>
            </w:pPr>
          </w:p>
          <w:p w14:paraId="3B36AFC3" w14:textId="77777777" w:rsidR="000145F2" w:rsidRPr="000145F2" w:rsidRDefault="000145F2" w:rsidP="00243DB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371" w:type="dxa"/>
          </w:tcPr>
          <w:p w14:paraId="3C0195A6" w14:textId="77777777" w:rsidR="000145F2" w:rsidRPr="000145F2" w:rsidRDefault="000145F2" w:rsidP="000145F2">
            <w:pPr>
              <w:rPr>
                <w:rFonts w:cstheme="minorHAnsi"/>
                <w:sz w:val="14"/>
                <w:szCs w:val="14"/>
              </w:rPr>
            </w:pPr>
            <w:r w:rsidRPr="000145F2">
              <w:rPr>
                <w:rFonts w:cstheme="minorHAnsi"/>
                <w:sz w:val="14"/>
                <w:szCs w:val="14"/>
              </w:rPr>
              <w:t>Tento piktogram znamená, že ide o odev pre motocyklistov spĺňajúci úroveň ochrany AA podľa</w:t>
            </w:r>
          </w:p>
          <w:p w14:paraId="23D6C890" w14:textId="77777777" w:rsidR="000145F2" w:rsidRPr="000145F2" w:rsidRDefault="000145F2" w:rsidP="000145F2">
            <w:pPr>
              <w:rPr>
                <w:rFonts w:cstheme="minorHAnsi"/>
                <w:sz w:val="14"/>
                <w:szCs w:val="14"/>
              </w:rPr>
            </w:pPr>
            <w:r w:rsidRPr="000145F2">
              <w:rPr>
                <w:rFonts w:cstheme="minorHAnsi"/>
                <w:sz w:val="14"/>
                <w:szCs w:val="14"/>
              </w:rPr>
              <w:t>EN:17012-4:2020.</w:t>
            </w:r>
          </w:p>
          <w:p w14:paraId="01D90C31" w14:textId="77777777" w:rsidR="000145F2" w:rsidRPr="000145F2" w:rsidRDefault="000145F2" w:rsidP="000145F2">
            <w:pPr>
              <w:rPr>
                <w:rFonts w:cstheme="minorHAnsi"/>
                <w:sz w:val="14"/>
                <w:szCs w:val="14"/>
              </w:rPr>
            </w:pPr>
          </w:p>
          <w:p w14:paraId="7EB55909" w14:textId="77777777" w:rsidR="000145F2" w:rsidRPr="000145F2" w:rsidRDefault="000145F2" w:rsidP="000145F2">
            <w:pPr>
              <w:rPr>
                <w:rFonts w:cstheme="minorHAnsi"/>
                <w:sz w:val="14"/>
                <w:szCs w:val="14"/>
              </w:rPr>
            </w:pPr>
            <w:r w:rsidRPr="000145F2">
              <w:rPr>
                <w:rFonts w:cstheme="minorHAnsi"/>
                <w:sz w:val="14"/>
                <w:szCs w:val="14"/>
              </w:rPr>
              <w:t>Toto oblečenie obsahuje chrániče ramien a lakťov certifikované podľa EN:1621•1•2012</w:t>
            </w:r>
          </w:p>
          <w:p w14:paraId="0E25B90B" w14:textId="77777777" w:rsidR="000145F2" w:rsidRPr="000145F2" w:rsidRDefault="000145F2" w:rsidP="000145F2">
            <w:pPr>
              <w:rPr>
                <w:rFonts w:cstheme="minorHAnsi"/>
                <w:sz w:val="14"/>
                <w:szCs w:val="14"/>
              </w:rPr>
            </w:pPr>
          </w:p>
          <w:p w14:paraId="58388E78" w14:textId="77777777" w:rsidR="000145F2" w:rsidRPr="000145F2" w:rsidRDefault="000145F2" w:rsidP="000145F2">
            <w:pPr>
              <w:rPr>
                <w:rFonts w:cstheme="minorHAnsi"/>
                <w:sz w:val="14"/>
                <w:szCs w:val="14"/>
              </w:rPr>
            </w:pPr>
            <w:r w:rsidRPr="000145F2">
              <w:rPr>
                <w:rFonts w:cstheme="minorHAnsi"/>
                <w:b/>
                <w:sz w:val="14"/>
                <w:szCs w:val="14"/>
              </w:rPr>
              <w:t>CE:</w:t>
            </w:r>
            <w:r w:rsidRPr="000145F2">
              <w:rPr>
                <w:rFonts w:cstheme="minorHAnsi"/>
                <w:sz w:val="14"/>
                <w:szCs w:val="14"/>
              </w:rPr>
              <w:t xml:space="preserve">  Toto oblečenie je certifikované (ES) podľa nariadenia (EÚ) 2016/25 a EN17092.</w:t>
            </w:r>
          </w:p>
          <w:p w14:paraId="0CBE89A2" w14:textId="77777777" w:rsidR="000145F2" w:rsidRPr="000145F2" w:rsidRDefault="000145F2" w:rsidP="00243DB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14:paraId="58518BF6" w14:textId="77777777" w:rsidR="00243DB6" w:rsidRPr="000145F2" w:rsidRDefault="00243DB6" w:rsidP="000145F2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NEPOUŽÍVAJTE TENTO ODEV AK BY STE Z NEHO ODSTRÁNILI OCHRANU PROTI NÁRAZU.</w:t>
      </w:r>
    </w:p>
    <w:p w14:paraId="4B734E7C" w14:textId="77777777" w:rsidR="00243DB6" w:rsidRPr="000145F2" w:rsidRDefault="00243DB6" w:rsidP="000145F2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ŽIADEN OOP ANI KOMBINÁCIA OOP NEMÔŽE PONÚKAŤ KOMPLETNÚ OCHRANU PRED ZRANENÍM.</w:t>
      </w:r>
    </w:p>
    <w:p w14:paraId="2196B707" w14:textId="77777777" w:rsidR="00243DB6" w:rsidRPr="000145F2" w:rsidRDefault="00243DB6" w:rsidP="000145F2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Tento odev neobsahuje žiadne škodlivé látky.</w:t>
      </w:r>
    </w:p>
    <w:p w14:paraId="2DF84210" w14:textId="77777777" w:rsidR="00243DB6" w:rsidRDefault="002A2613" w:rsidP="000145F2">
      <w:pPr>
        <w:spacing w:after="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Dámsky ODEV JOYCE </w:t>
      </w:r>
      <w:r w:rsidR="00243DB6" w:rsidRPr="000145F2">
        <w:rPr>
          <w:rFonts w:cstheme="minorHAnsi"/>
          <w:sz w:val="14"/>
          <w:szCs w:val="14"/>
        </w:rPr>
        <w:t>JE DOSTUPN</w:t>
      </w:r>
      <w:r w:rsidR="000145F2" w:rsidRPr="000145F2">
        <w:rPr>
          <w:rFonts w:cstheme="minorHAnsi"/>
          <w:sz w:val="14"/>
          <w:szCs w:val="14"/>
        </w:rPr>
        <w:t>Ý</w:t>
      </w:r>
      <w:r w:rsidR="00243DB6" w:rsidRPr="000145F2">
        <w:rPr>
          <w:rFonts w:cstheme="minorHAnsi"/>
          <w:sz w:val="14"/>
          <w:szCs w:val="14"/>
        </w:rPr>
        <w:t xml:space="preserve"> vo veľkostiach:</w:t>
      </w:r>
      <w:r w:rsidR="000145F2" w:rsidRPr="000145F2">
        <w:rPr>
          <w:rFonts w:cstheme="minorHAnsi"/>
          <w:sz w:val="14"/>
          <w:szCs w:val="14"/>
        </w:rPr>
        <w:t xml:space="preserve">  </w:t>
      </w:r>
      <w:r w:rsidR="00243DB6" w:rsidRPr="000145F2">
        <w:rPr>
          <w:rFonts w:cstheme="minorHAnsi"/>
          <w:sz w:val="14"/>
          <w:szCs w:val="14"/>
        </w:rPr>
        <w:t>3</w:t>
      </w:r>
      <w:r w:rsidR="00023931">
        <w:rPr>
          <w:rFonts w:cstheme="minorHAnsi"/>
          <w:sz w:val="14"/>
          <w:szCs w:val="14"/>
        </w:rPr>
        <w:t>6</w:t>
      </w:r>
      <w:r w:rsidR="00243DB6" w:rsidRPr="000145F2">
        <w:rPr>
          <w:rFonts w:cstheme="minorHAnsi"/>
          <w:sz w:val="14"/>
          <w:szCs w:val="14"/>
        </w:rPr>
        <w:t>, 38, 40, 42,</w:t>
      </w:r>
      <w:r>
        <w:rPr>
          <w:rFonts w:cstheme="minorHAnsi"/>
          <w:sz w:val="14"/>
          <w:szCs w:val="14"/>
        </w:rPr>
        <w:t xml:space="preserve"> 44, 4</w:t>
      </w:r>
      <w:r w:rsidR="00023931">
        <w:rPr>
          <w:rFonts w:cstheme="minorHAnsi"/>
          <w:sz w:val="14"/>
          <w:szCs w:val="14"/>
        </w:rPr>
        <w:t>6</w:t>
      </w:r>
      <w:r w:rsidR="007834A7">
        <w:rPr>
          <w:rFonts w:cstheme="minorHAnsi"/>
          <w:sz w:val="14"/>
          <w:szCs w:val="14"/>
        </w:rPr>
        <w:t xml:space="preserve"> a SUPER JOYCE vo veľkostiach 48,50,52,54,56</w:t>
      </w:r>
    </w:p>
    <w:p w14:paraId="280B3455" w14:textId="77777777" w:rsidR="002A2613" w:rsidRPr="000145F2" w:rsidRDefault="002A2613" w:rsidP="002A2613">
      <w:pPr>
        <w:spacing w:after="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Pánsky ODEV JARI </w:t>
      </w:r>
      <w:r w:rsidRPr="000145F2">
        <w:rPr>
          <w:rFonts w:cstheme="minorHAnsi"/>
          <w:sz w:val="14"/>
          <w:szCs w:val="14"/>
        </w:rPr>
        <w:t xml:space="preserve">JE DOSTUPNÝ vo veľkostiach:  </w:t>
      </w:r>
      <w:r w:rsidR="00CC34C8">
        <w:rPr>
          <w:rFonts w:cstheme="minorHAnsi"/>
          <w:sz w:val="14"/>
          <w:szCs w:val="14"/>
        </w:rPr>
        <w:t>S,M,L,XL,2XL,3XL,4XL</w:t>
      </w:r>
      <w:r w:rsidR="007834A7">
        <w:rPr>
          <w:rFonts w:cstheme="minorHAnsi"/>
          <w:sz w:val="14"/>
          <w:szCs w:val="14"/>
        </w:rPr>
        <w:t xml:space="preserve"> a SUPER JARI vo veľkostiach 5XL, 6XL, 7XL, 8XL</w:t>
      </w:r>
    </w:p>
    <w:p w14:paraId="50E37685" w14:textId="77777777" w:rsidR="000145F2" w:rsidRPr="000145F2" w:rsidRDefault="000145F2" w:rsidP="000145F2">
      <w:pPr>
        <w:spacing w:after="0"/>
        <w:rPr>
          <w:rFonts w:cstheme="minorHAnsi"/>
          <w:sz w:val="14"/>
          <w:szCs w:val="14"/>
        </w:rPr>
      </w:pPr>
    </w:p>
    <w:p w14:paraId="4146BDC2" w14:textId="77777777" w:rsidR="00243DB6" w:rsidRDefault="00243DB6" w:rsidP="000145F2">
      <w:pPr>
        <w:spacing w:after="0"/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Aby ste zabezpečili dokonalé prispôsobenie odevu, zmerajte si obrys hrudníka (A), pása (B) a výšku (C) v centimetroch a v</w:t>
      </w:r>
      <w:r w:rsidR="009B2139" w:rsidRPr="000145F2">
        <w:rPr>
          <w:rFonts w:cstheme="minorHAnsi"/>
          <w:sz w:val="14"/>
          <w:szCs w:val="14"/>
        </w:rPr>
        <w:t> Rusty Stitches</w:t>
      </w:r>
      <w:r w:rsidRPr="000145F2">
        <w:rPr>
          <w:rFonts w:cstheme="minorHAnsi"/>
          <w:sz w:val="14"/>
          <w:szCs w:val="14"/>
        </w:rPr>
        <w:t xml:space="preserve"> tabuľke vyhľadajte najvhodnejšiu veľkosť</w:t>
      </w:r>
      <w:r w:rsidR="009B2139" w:rsidRPr="000145F2">
        <w:rPr>
          <w:rFonts w:cstheme="minorHAnsi"/>
          <w:sz w:val="14"/>
          <w:szCs w:val="14"/>
        </w:rPr>
        <w:t>.</w:t>
      </w:r>
      <w:r w:rsidRPr="000145F2">
        <w:rPr>
          <w:rFonts w:cstheme="minorHAnsi"/>
          <w:sz w:val="14"/>
          <w:szCs w:val="14"/>
        </w:rPr>
        <w:t xml:space="preserve"> Oblečte si najvhodnejší odev podľa svojich mier, zapnite a skontrolujte, či chrániče dokonale sedia a či je v jazdeckej polohe dostatočný presah medzi bundou a nohavicami.</w:t>
      </w:r>
    </w:p>
    <w:p w14:paraId="51EA9577" w14:textId="77777777" w:rsidR="002E387D" w:rsidRPr="000145F2" w:rsidRDefault="002E387D" w:rsidP="000145F2">
      <w:pPr>
        <w:spacing w:after="0"/>
        <w:rPr>
          <w:rFonts w:cstheme="minorHAnsi"/>
          <w:sz w:val="14"/>
          <w:szCs w:val="14"/>
        </w:rPr>
      </w:pPr>
    </w:p>
    <w:p w14:paraId="2F74D5D7" w14:textId="77777777" w:rsidR="000145F2" w:rsidRDefault="002E387D" w:rsidP="009B2139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0C74FDE9" wp14:editId="7F3D8D7C">
            <wp:extent cx="1973036" cy="705654"/>
            <wp:effectExtent l="19050" t="0" r="8164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10" cy="70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14"/>
          <w:szCs w:val="14"/>
        </w:rPr>
        <w:t xml:space="preserve">                   </w:t>
      </w:r>
      <w:r w:rsidR="00DE7F98"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7769D6F0" wp14:editId="3267AFFF">
            <wp:extent cx="1333203" cy="707571"/>
            <wp:effectExtent l="19050" t="0" r="297" b="0"/>
            <wp:docPr id="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03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14"/>
          <w:szCs w:val="14"/>
        </w:rPr>
        <w:t xml:space="preserve">     </w:t>
      </w:r>
      <w:r w:rsidR="007834A7">
        <w:rPr>
          <w:rFonts w:cstheme="minorHAnsi"/>
          <w:b/>
          <w:sz w:val="14"/>
          <w:szCs w:val="14"/>
        </w:rPr>
        <w:t xml:space="preserve">                 </w:t>
      </w:r>
      <w:r>
        <w:rPr>
          <w:rFonts w:cstheme="minorHAnsi"/>
          <w:b/>
          <w:sz w:val="14"/>
          <w:szCs w:val="14"/>
        </w:rPr>
        <w:t xml:space="preserve">            </w:t>
      </w: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4ED79863" wp14:editId="3FFDE422">
            <wp:extent cx="1254578" cy="761573"/>
            <wp:effectExtent l="19050" t="0" r="2722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08" cy="76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C6A41" w14:textId="77777777" w:rsidR="002E387D" w:rsidRDefault="002E387D" w:rsidP="009B2139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0A25C1D9" wp14:editId="658A5EF9">
            <wp:extent cx="1947956" cy="800100"/>
            <wp:effectExtent l="19050" t="0" r="0" b="0"/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64" cy="80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14"/>
          <w:szCs w:val="14"/>
        </w:rPr>
        <w:t xml:space="preserve">                     </w:t>
      </w:r>
      <w:r w:rsidR="007834A7"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086A58B1" wp14:editId="72D936CB">
            <wp:extent cx="1728107" cy="796033"/>
            <wp:effectExtent l="19050" t="0" r="5443" b="0"/>
            <wp:docPr id="9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07" cy="79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14"/>
          <w:szCs w:val="14"/>
        </w:rPr>
        <w:t xml:space="preserve">           </w:t>
      </w:r>
      <w:r>
        <w:rPr>
          <w:rFonts w:cstheme="minorHAnsi"/>
          <w:b/>
          <w:noProof/>
          <w:sz w:val="14"/>
          <w:szCs w:val="14"/>
          <w:lang w:eastAsia="sk-SK"/>
        </w:rPr>
        <w:drawing>
          <wp:inline distT="0" distB="0" distL="0" distR="0" wp14:anchorId="1218084E" wp14:editId="3F0343DF">
            <wp:extent cx="1390650" cy="771091"/>
            <wp:effectExtent l="19050" t="0" r="0" b="0"/>
            <wp:docPr id="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41" cy="77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50E97" w14:textId="77777777" w:rsidR="009B2139" w:rsidRPr="000145F2" w:rsidRDefault="009B2139" w:rsidP="000145F2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POKYNY NA SKLADOVANIE</w:t>
      </w:r>
    </w:p>
    <w:p w14:paraId="5ACD7B90" w14:textId="77777777" w:rsidR="009B2139" w:rsidRPr="000145F2" w:rsidRDefault="009B2139" w:rsidP="009B2139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>Odev uchovávajte na suchom a odolnom mieste, chráňte pred slnečným žiarením a ohniskom tepla a chladu. Ak je to možné, skladujte v pôvodnom obale. Udržujte ho ďaleko od chemických látok, ktoré by mohli poškodiť materiál a spôsobiť, že odev stratí svoje ochranné vlastnosti.</w:t>
      </w:r>
    </w:p>
    <w:p w14:paraId="180A32CF" w14:textId="77777777" w:rsidR="000145F2" w:rsidRPr="000145F2" w:rsidRDefault="009B2139" w:rsidP="000145F2">
      <w:pPr>
        <w:rPr>
          <w:rFonts w:cstheme="minorHAnsi"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NÁVOD NA ÚDRŽBU</w:t>
      </w:r>
      <w:r w:rsidR="000145F2" w:rsidRPr="000145F2">
        <w:rPr>
          <w:rFonts w:cstheme="minorHAnsi"/>
          <w:b/>
          <w:sz w:val="14"/>
          <w:szCs w:val="14"/>
        </w:rPr>
        <w:t xml:space="preserve">    </w:t>
      </w:r>
      <w:r w:rsidR="000145F2" w:rsidRPr="000145F2">
        <w:rPr>
          <w:rFonts w:cstheme="minorHAnsi"/>
          <w:sz w:val="14"/>
          <w:szCs w:val="14"/>
        </w:rPr>
        <w:t>Povrchové čistenie len vlhkou špongiou.</w:t>
      </w:r>
    </w:p>
    <w:p w14:paraId="5A4BED77" w14:textId="77777777" w:rsidR="009B2139" w:rsidRPr="000145F2" w:rsidRDefault="009B2139" w:rsidP="009B2139">
      <w:pPr>
        <w:rPr>
          <w:rFonts w:cstheme="minorHAnsi"/>
          <w:sz w:val="14"/>
          <w:szCs w:val="14"/>
        </w:rPr>
      </w:pPr>
      <w:r w:rsidRPr="000145F2">
        <w:rPr>
          <w:rFonts w:cstheme="minorHAnsi"/>
          <w:noProof/>
          <w:sz w:val="14"/>
          <w:szCs w:val="14"/>
          <w:lang w:eastAsia="sk-SK"/>
        </w:rPr>
        <w:drawing>
          <wp:inline distT="0" distB="0" distL="0" distR="0" wp14:anchorId="7B4F89F1" wp14:editId="356BCAC7">
            <wp:extent cx="2724150" cy="394256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54" cy="39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1C5E6" w14:textId="77777777" w:rsidR="009B2139" w:rsidRPr="000145F2" w:rsidRDefault="009B2139" w:rsidP="000145F2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REVÍZIA</w:t>
      </w:r>
    </w:p>
    <w:p w14:paraId="4971CFF6" w14:textId="77777777" w:rsidR="009B2139" w:rsidRPr="000145F2" w:rsidRDefault="009B2139" w:rsidP="009B2139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 xml:space="preserve">Pred použitím </w:t>
      </w:r>
      <w:r w:rsidR="00D436EE" w:rsidRPr="000145F2">
        <w:rPr>
          <w:rFonts w:cstheme="minorHAnsi"/>
          <w:sz w:val="14"/>
          <w:szCs w:val="14"/>
        </w:rPr>
        <w:t>skontrolujte materiál</w:t>
      </w:r>
      <w:r w:rsidRPr="000145F2">
        <w:rPr>
          <w:rFonts w:cstheme="minorHAnsi"/>
          <w:sz w:val="14"/>
          <w:szCs w:val="14"/>
        </w:rPr>
        <w:t>, chrániče proti nárazu, výstuhy, uzávery a</w:t>
      </w:r>
      <w:r w:rsidR="00D436EE" w:rsidRPr="000145F2">
        <w:rPr>
          <w:rFonts w:cstheme="minorHAnsi"/>
          <w:sz w:val="14"/>
          <w:szCs w:val="14"/>
        </w:rPr>
        <w:t> </w:t>
      </w:r>
      <w:r w:rsidRPr="000145F2">
        <w:rPr>
          <w:rFonts w:cstheme="minorHAnsi"/>
          <w:sz w:val="14"/>
          <w:szCs w:val="14"/>
        </w:rPr>
        <w:t>pozri</w:t>
      </w:r>
      <w:r w:rsidR="00D436EE" w:rsidRPr="000145F2">
        <w:rPr>
          <w:rFonts w:cstheme="minorHAnsi"/>
          <w:sz w:val="14"/>
          <w:szCs w:val="14"/>
        </w:rPr>
        <w:t xml:space="preserve">te či </w:t>
      </w:r>
      <w:r w:rsidRPr="000145F2">
        <w:rPr>
          <w:rFonts w:cstheme="minorHAnsi"/>
          <w:sz w:val="14"/>
          <w:szCs w:val="14"/>
        </w:rPr>
        <w:t xml:space="preserve">sú v perfektnom stave. V prípade, že OOP nevyhovuje tejto požiadavke, požiadajte oficiálneho distribútora výrobku </w:t>
      </w:r>
      <w:r w:rsidR="00D436EE" w:rsidRPr="000145F2">
        <w:rPr>
          <w:rFonts w:cstheme="minorHAnsi"/>
          <w:sz w:val="14"/>
          <w:szCs w:val="14"/>
        </w:rPr>
        <w:t xml:space="preserve">o výmenu </w:t>
      </w:r>
      <w:r w:rsidRPr="000145F2">
        <w:rPr>
          <w:rFonts w:cstheme="minorHAnsi"/>
          <w:sz w:val="14"/>
          <w:szCs w:val="14"/>
        </w:rPr>
        <w:t>alebo ho odmietnite.</w:t>
      </w:r>
    </w:p>
    <w:p w14:paraId="2E43EE2E" w14:textId="77777777" w:rsidR="009B2139" w:rsidRPr="000145F2" w:rsidRDefault="009B2139" w:rsidP="000145F2">
      <w:pPr>
        <w:spacing w:after="0"/>
        <w:rPr>
          <w:rFonts w:cstheme="minorHAnsi"/>
          <w:b/>
          <w:sz w:val="14"/>
          <w:szCs w:val="14"/>
        </w:rPr>
      </w:pPr>
      <w:r w:rsidRPr="000145F2">
        <w:rPr>
          <w:rFonts w:cstheme="minorHAnsi"/>
          <w:b/>
          <w:sz w:val="14"/>
          <w:szCs w:val="14"/>
        </w:rPr>
        <w:t>BALENIE</w:t>
      </w:r>
    </w:p>
    <w:p w14:paraId="7F151E11" w14:textId="77777777" w:rsidR="009B2139" w:rsidRDefault="009B2139" w:rsidP="009B2139">
      <w:pPr>
        <w:rPr>
          <w:rFonts w:cstheme="minorHAnsi"/>
          <w:sz w:val="14"/>
          <w:szCs w:val="14"/>
        </w:rPr>
      </w:pPr>
      <w:r w:rsidRPr="000145F2">
        <w:rPr>
          <w:rFonts w:cstheme="minorHAnsi"/>
          <w:sz w:val="14"/>
          <w:szCs w:val="14"/>
        </w:rPr>
        <w:t xml:space="preserve">Aby sa zabezpečilo správne skladovanie odevu, predáva sa v plastovom vrecku. </w:t>
      </w:r>
      <w:r w:rsidR="00D436EE" w:rsidRPr="000145F2">
        <w:rPr>
          <w:rFonts w:cstheme="minorHAnsi"/>
          <w:sz w:val="14"/>
          <w:szCs w:val="14"/>
        </w:rPr>
        <w:t xml:space="preserve">Uchovajte </w:t>
      </w:r>
      <w:r w:rsidRPr="000145F2">
        <w:rPr>
          <w:rFonts w:cstheme="minorHAnsi"/>
          <w:sz w:val="14"/>
          <w:szCs w:val="14"/>
        </w:rPr>
        <w:t xml:space="preserve">si </w:t>
      </w:r>
      <w:r w:rsidR="00D436EE" w:rsidRPr="000145F2">
        <w:rPr>
          <w:rFonts w:cstheme="minorHAnsi"/>
          <w:sz w:val="14"/>
          <w:szCs w:val="14"/>
        </w:rPr>
        <w:t>h</w:t>
      </w:r>
      <w:r w:rsidRPr="000145F2">
        <w:rPr>
          <w:rFonts w:cstheme="minorHAnsi"/>
          <w:sz w:val="14"/>
          <w:szCs w:val="14"/>
        </w:rPr>
        <w:t xml:space="preserve">o pre budúce </w:t>
      </w:r>
      <w:r w:rsidR="00D436EE" w:rsidRPr="000145F2">
        <w:rPr>
          <w:rFonts w:cstheme="minorHAnsi"/>
          <w:sz w:val="14"/>
          <w:szCs w:val="14"/>
        </w:rPr>
        <w:t>uskladnenie</w:t>
      </w:r>
      <w:r w:rsidRPr="000145F2">
        <w:rPr>
          <w:rFonts w:cstheme="minorHAnsi"/>
          <w:sz w:val="14"/>
          <w:szCs w:val="14"/>
        </w:rPr>
        <w:t>.</w:t>
      </w:r>
    </w:p>
    <w:p w14:paraId="682F7DB1" w14:textId="77777777" w:rsidR="000145F2" w:rsidRPr="000145F2" w:rsidRDefault="000145F2" w:rsidP="009B2139">
      <w:pPr>
        <w:rPr>
          <w:rFonts w:cstheme="minorHAnsi"/>
          <w:sz w:val="14"/>
          <w:szCs w:val="14"/>
        </w:rPr>
      </w:pPr>
    </w:p>
    <w:p w14:paraId="00F5D189" w14:textId="77777777" w:rsidR="000145F2" w:rsidRPr="00D05565" w:rsidRDefault="000145F2" w:rsidP="000145F2">
      <w:pPr>
        <w:rPr>
          <w:sz w:val="14"/>
          <w:szCs w:val="14"/>
        </w:rPr>
      </w:pPr>
      <w:r w:rsidRPr="00D05565">
        <w:rPr>
          <w:sz w:val="14"/>
          <w:szCs w:val="14"/>
        </w:rPr>
        <w:t>Dodávateľ: JOPA RAcing Products, Veldegge 8, 7468 DJ Enter, www.jopa.nl</w:t>
      </w:r>
    </w:p>
    <w:p w14:paraId="71742D43" w14:textId="77777777" w:rsidR="000145F2" w:rsidRPr="00D05565" w:rsidRDefault="000145F2" w:rsidP="000145F2">
      <w:pPr>
        <w:rPr>
          <w:sz w:val="14"/>
          <w:szCs w:val="14"/>
        </w:rPr>
      </w:pPr>
      <w:r w:rsidRPr="00D05565">
        <w:rPr>
          <w:sz w:val="14"/>
          <w:szCs w:val="14"/>
        </w:rPr>
        <w:t xml:space="preserve">Dovozca:  IP trade s.r.o., Slnečná 2908/1, 926 01 Sereď, ICO:46288244, </w:t>
      </w:r>
      <w:hyperlink r:id="rId13" w:history="1">
        <w:r w:rsidRPr="00D05565">
          <w:rPr>
            <w:rStyle w:val="Hypertextovprepojenie"/>
            <w:sz w:val="14"/>
            <w:szCs w:val="14"/>
          </w:rPr>
          <w:t>www.namoto.sk</w:t>
        </w:r>
      </w:hyperlink>
      <w:r w:rsidRPr="00D05565">
        <w:rPr>
          <w:sz w:val="14"/>
          <w:szCs w:val="14"/>
        </w:rPr>
        <w:t>, email: info</w:t>
      </w:r>
      <w:r w:rsidRPr="00D05565">
        <w:rPr>
          <w:rFonts w:cstheme="minorHAnsi"/>
          <w:sz w:val="14"/>
          <w:szCs w:val="14"/>
        </w:rPr>
        <w:t>@</w:t>
      </w:r>
      <w:r w:rsidRPr="00D05565">
        <w:rPr>
          <w:sz w:val="14"/>
          <w:szCs w:val="14"/>
        </w:rPr>
        <w:t>namoto.sk</w:t>
      </w:r>
    </w:p>
    <w:p w14:paraId="10F961E6" w14:textId="77777777" w:rsidR="000145F2" w:rsidRPr="000145F2" w:rsidRDefault="000145F2" w:rsidP="009B2139">
      <w:pPr>
        <w:rPr>
          <w:rFonts w:cstheme="minorHAnsi"/>
          <w:sz w:val="18"/>
          <w:szCs w:val="18"/>
        </w:rPr>
      </w:pPr>
    </w:p>
    <w:sectPr w:rsidR="000145F2" w:rsidRPr="000145F2" w:rsidSect="00577576">
      <w:pgSz w:w="11906" w:h="16838"/>
      <w:pgMar w:top="709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DB6"/>
    <w:rsid w:val="000145F2"/>
    <w:rsid w:val="00023931"/>
    <w:rsid w:val="001139D6"/>
    <w:rsid w:val="00243DB6"/>
    <w:rsid w:val="002A2613"/>
    <w:rsid w:val="002E387D"/>
    <w:rsid w:val="004B6143"/>
    <w:rsid w:val="00514083"/>
    <w:rsid w:val="00577576"/>
    <w:rsid w:val="007834A7"/>
    <w:rsid w:val="009B2139"/>
    <w:rsid w:val="00A6411F"/>
    <w:rsid w:val="00C45113"/>
    <w:rsid w:val="00CC104D"/>
    <w:rsid w:val="00CC34C8"/>
    <w:rsid w:val="00D436EE"/>
    <w:rsid w:val="00D657F3"/>
    <w:rsid w:val="00DE7F98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9A60"/>
  <w15:docId w15:val="{72224F0F-4004-47DF-8EB0-FCBFF9F4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69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43DB6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DB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14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014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namoto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namot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Hornikova</dc:creator>
  <cp:lastModifiedBy>Administrator</cp:lastModifiedBy>
  <cp:revision>4</cp:revision>
  <dcterms:created xsi:type="dcterms:W3CDTF">2024-02-29T12:23:00Z</dcterms:created>
  <dcterms:modified xsi:type="dcterms:W3CDTF">2024-04-04T06:11:00Z</dcterms:modified>
</cp:coreProperties>
</file>